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Сводный отчет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 </w:t>
      </w:r>
    </w:p>
    <w:tbl>
      <w:tblPr>
        <w:tblW w:w="98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5"/>
        <w:gridCol w:w="133"/>
        <w:gridCol w:w="6"/>
        <w:gridCol w:w="10"/>
        <w:gridCol w:w="1714"/>
        <w:gridCol w:w="546"/>
        <w:gridCol w:w="161"/>
        <w:gridCol w:w="50"/>
        <w:gridCol w:w="69"/>
        <w:gridCol w:w="22"/>
        <w:gridCol w:w="374"/>
        <w:gridCol w:w="1179"/>
        <w:gridCol w:w="105"/>
        <w:gridCol w:w="21"/>
        <w:gridCol w:w="20"/>
        <w:gridCol w:w="190"/>
        <w:gridCol w:w="98"/>
        <w:gridCol w:w="935"/>
        <w:gridCol w:w="30"/>
        <w:gridCol w:w="247"/>
        <w:gridCol w:w="178"/>
        <w:gridCol w:w="94"/>
        <w:gridCol w:w="48"/>
        <w:gridCol w:w="166"/>
        <w:gridCol w:w="552"/>
        <w:gridCol w:w="1007"/>
        <w:gridCol w:w="1283"/>
      </w:tblGrid>
      <w:tr>
        <w:trPr>
          <w:trHeight w:val="332" w:hRule="atLeast"/>
        </w:trPr>
        <w:tc>
          <w:tcPr>
            <w:tcW w:w="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 труда и социальной защиты Республики Хакасия</w:t>
            </w:r>
          </w:p>
        </w:tc>
      </w:tr>
      <w:tr>
        <w:trPr>
          <w:trHeight w:val="496" w:hRule="atLeast"/>
        </w:trPr>
        <w:tc>
          <w:tcPr>
            <w:tcW w:w="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</w:tr>
      <w:tr>
        <w:trPr>
          <w:trHeight w:val="362" w:hRule="atLeast"/>
        </w:trPr>
        <w:tc>
          <w:tcPr>
            <w:tcW w:w="65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наименование проекта нормативного акта: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Республики Хакасия «О внесении изменений в Порядок определения объема и предоставления субсидий из республиканского бюджета Республики Хакасия некоммерческим организациям на осуществление уставной деятельности, утвержденный постановлением Правительства Республики Хакасия от 29.12.2021 № 715» (далее – проект постановления)</w:t>
            </w:r>
          </w:p>
        </w:tc>
      </w:tr>
      <w:tr>
        <w:trPr>
          <w:trHeight w:val="701" w:hRule="atLeast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регистрационной карточки проекта документа (РКПД), автоматически присвоенный в системе автоматизации делопроизводства и документооборота «Дело» (при наличии):</w:t>
            </w:r>
          </w:p>
        </w:tc>
        <w:tc>
          <w:tcPr>
            <w:tcW w:w="35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РКПД № 227</w:t>
            </w:r>
          </w:p>
        </w:tc>
      </w:tr>
      <w:tr>
        <w:trPr>
          <w:trHeight w:val="1904" w:hRule="atLeast"/>
        </w:trPr>
        <w:tc>
          <w:tcPr>
            <w:tcW w:w="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согласования без замечаний проекта нормативного правового акта в соответствии с пунктом 3.2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утвержденного постановлением Правительства Республики Хакасия от 02.12.2013 № 671:</w:t>
            </w:r>
          </w:p>
        </w:tc>
        <w:tc>
          <w:tcPr>
            <w:tcW w:w="35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13.03.2023</w:t>
            </w:r>
          </w:p>
        </w:tc>
      </w:tr>
      <w:tr>
        <w:trPr>
          <w:trHeight w:val="617" w:hRule="atLeast"/>
        </w:trPr>
        <w:tc>
          <w:tcPr>
            <w:tcW w:w="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проведении публичных консультаций по уведомлению о разработке проекта нормативного акта:</w:t>
            </w:r>
          </w:p>
        </w:tc>
        <w:tc>
          <w:tcPr>
            <w:tcW w:w="35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проводились 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не проводились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(нужное подчеркнуть)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размещении уведомления о проведении публичных консультаций по проекту нормативного акта и сводному отчету, в том числе повторно, сроках предоставления предложений в связи с таким размещением и иных формах общественных обсуждений: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уведомление размещено: «13» апреля 2023 г;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публичных консультаций: «14» апреля 2023 г;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 публичных консультаций: «20» апреля 2023 г;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лицах, извещённых о проведении публичных консультаций (с указанием способа и даты направления Извещения, при электронной форме направления Извещения также указываются электронные адреса, на которые оно направлено):</w:t>
            </w:r>
          </w:p>
          <w:p>
            <w:pPr>
              <w:pStyle w:val="2"/>
              <w:widowControl w:val="false"/>
              <w:tabs>
                <w:tab w:val="clear" w:pos="708"/>
                <w:tab w:val="left" w:pos="85" w:leader="none"/>
              </w:tabs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 xml:space="preserve">Председатель Общественной палаты Республики Хакасия (исх. № 140-2875/105-03 </w:t>
              <w:br/>
              <w:t>от 12.04.2023, в электронном виде на info@oprh.ru);</w:t>
            </w:r>
          </w:p>
          <w:p>
            <w:pPr>
              <w:pStyle w:val="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Уполномоченный по защите прав предпринимателей в Республике Хакасия </w:t>
              <w:br/>
              <w:t>(исх. № 140-2</w:t>
            </w:r>
            <w:r>
              <w:rPr>
                <w:b w:val="false"/>
                <w:color w:val="auto"/>
                <w:sz w:val="24"/>
                <w:szCs w:val="24"/>
              </w:rPr>
              <w:t>875</w:t>
            </w:r>
            <w:r>
              <w:rPr>
                <w:sz w:val="24"/>
                <w:szCs w:val="24"/>
              </w:rPr>
              <w:t xml:space="preserve">/105-03 от </w:t>
            </w:r>
            <w:r>
              <w:rPr>
                <w:b w:val="false"/>
                <w:color w:val="auto"/>
                <w:sz w:val="24"/>
                <w:szCs w:val="24"/>
              </w:rPr>
              <w:t>12.04.2023</w:t>
            </w:r>
            <w:r>
              <w:rPr>
                <w:sz w:val="24"/>
                <w:szCs w:val="24"/>
              </w:rPr>
              <w:t>, в электронном виде на khakasia@ombudsmanbiz.ru);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Председатель Регионального отделения Общероссийской общественной организации малого и среднего предпринимательства «Опора России» в Республике Хакасия (исх. № 140-2</w:t>
            </w: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875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/105-03 от </w:t>
            </w: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12.04.2023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электронном виде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opora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shevchenko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maksim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Президент Союза «Торгово-промышленная палата Республики Хакасия» </w:t>
              <w:br/>
              <w:t>(исх. № 140-2</w:t>
            </w: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875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/105-03 от </w:t>
            </w: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12.04.2023</w:t>
            </w:r>
            <w:r>
              <w:rPr>
                <w:rFonts w:ascii="Times New Roman" w:hAnsi="Times New Roman"/>
                <w:sz w:val="24"/>
                <w:szCs w:val="24"/>
              </w:rPr>
              <w:t>, в электронном виде на tpp19@torgpalata.ru);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Председатель Хакасского регионального общественного движения хакасского народа (исх. № 140-2</w:t>
            </w: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875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/105-03 от </w:t>
            </w: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12.04.2023</w:t>
            </w:r>
            <w:r>
              <w:rPr>
                <w:rFonts w:ascii="Times New Roman" w:hAnsi="Times New Roman"/>
                <w:sz w:val="24"/>
                <w:szCs w:val="24"/>
              </w:rPr>
              <w:t>, в электронном виде на sovetstar19@yandex.ru);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Председатель Хакасской республиканской общественной организации Общероссийской общественной организации инвалидов «Всероссийское ордена Трудового Красного Знамени общество слепых» (исх. № 140-2</w:t>
            </w: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875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/105-03 </w:t>
              <w:br/>
              <w:t xml:space="preserve">от </w:t>
            </w: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12.04.2023</w:t>
            </w:r>
            <w:r>
              <w:rPr>
                <w:rFonts w:ascii="Times New Roman" w:hAnsi="Times New Roman"/>
                <w:sz w:val="24"/>
                <w:szCs w:val="24"/>
              </w:rPr>
              <w:t>, в электронном виде на hrovos@mail.ru);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Председатель Хакасского регионального отделения Общероссийской общественной организации инвалидов «Всероссийское общество глухих» (исх. № 140-2</w:t>
            </w: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875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/105-03 </w:t>
              <w:br/>
              <w:t xml:space="preserve">от </w:t>
            </w: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12.04.2023</w:t>
            </w:r>
            <w:r>
              <w:rPr>
                <w:rFonts w:ascii="Times New Roman" w:hAnsi="Times New Roman"/>
                <w:sz w:val="24"/>
                <w:szCs w:val="24"/>
              </w:rPr>
              <w:t>, в электронном виде на voghakasia@yandex.ru).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лицах, представивших предложения: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исполнителя в регулирующем органе, и иные сведения </w:t>
              <w:br/>
              <w:t>о структурных подразделениях регулирующего органа рассмотревших предложения: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Толоконникова Анна Андреевна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советник отдела нестационарного обслуживания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(3902) 35-75-25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mt</w:t>
            </w:r>
            <w:r>
              <w:rPr>
                <w:rFonts w:ascii="Times New Roman" w:hAnsi="Times New Roman"/>
                <w:sz w:val="24"/>
                <w:szCs w:val="24"/>
              </w:rPr>
              <w:t>47@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-19.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Степень регулирующего воздействия проекта нормативного акта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1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регулирующего воздействия проекта нормативного акта:</w:t>
            </w:r>
          </w:p>
        </w:tc>
        <w:tc>
          <w:tcPr>
            <w:tcW w:w="3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высокая/средняя/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низкая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(нужное подчеркнуть)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отнесения проекта нормативного акта к определенной степени регулирующего воздействия: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абзацу девятому пункта 1.3 постановления Правительства Республики Хакасия от 02.12.2013 № 671 «Об утверждении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проведение экспертизы нормативных правовых актов Республики Хакасия, затрагивающих вопросы осуществления предпринимательской и инвестиционной деятельности» проекты нормативных актов, устанавливающие (изменяющие) порядки предоставления субсидий юридическим лицам, индивидуальным предпринимателям, физическим лицам, в том числе грантов в форме субсидий, относятся к низкой степени регулирующего воздействия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проблемы, на решение которой направлен предлагаемый способ регулирования, условий и факторов её существования,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 Описание проблемы, на решение которой направлен предлагаемый способ регулирования, условий и факторов её существования:</w:t>
            </w:r>
          </w:p>
        </w:tc>
        <w:tc>
          <w:tcPr>
            <w:tcW w:w="4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Оценка негативных эффектов, возникающих в связи с наличием рассматриваемой проблемы:</w:t>
            </w:r>
          </w:p>
        </w:tc>
      </w:tr>
      <w:tr>
        <w:trPr/>
        <w:tc>
          <w:tcPr>
            <w:tcW w:w="52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соответствие постановления Правительства Республики Хакасия от 29.12.2021 № 715 </w:t>
              <w:br/>
              <w:t>«Об утверждении Порядка определения объема и предоставления субсидий из республиканского бюджета Республики Хакасия некоммерческим организациям на осуществление уставной деятельности и признании утратившими силу некоторых постановлений Правительства Республики Хакасия» действующему законодательству.</w:t>
            </w:r>
          </w:p>
        </w:tc>
        <w:tc>
          <w:tcPr>
            <w:tcW w:w="4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соответствие действующему законодательству одного из требований, которому должны соответствовать некоммерческие организации.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лицам–производителям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(в редакции постановления Правительства Российской Федерации от 22.12.2022 № 2385);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Налоговый кодекс Российской Федерации.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опыта субъектов Российской Федерации в соответствующих сферах деятельности**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опыта субъектов Российской Федерации в соответствующих сферах деятельности: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57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предлагаемого регулирования, ключевые показатели достижения целей предлагаемого регулирования, сроки их достижения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3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02" w:hRule="atLeast"/>
        </w:trPr>
        <w:tc>
          <w:tcPr>
            <w:tcW w:w="336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Цели предлагаемого регулирования</w:t>
            </w:r>
          </w:p>
        </w:tc>
        <w:tc>
          <w:tcPr>
            <w:tcW w:w="198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 Ключевые показатели (цифровое выражение целей правового регулирования)*</w:t>
            </w:r>
          </w:p>
        </w:tc>
        <w:tc>
          <w:tcPr>
            <w:tcW w:w="169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Сроки достижения ключевых показателей*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 Значения ключевых показателей*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3366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Актуальное значение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Прогнози-руемое значение</w:t>
            </w:r>
          </w:p>
        </w:tc>
      </w:tr>
      <w:tr>
        <w:trPr/>
        <w:tc>
          <w:tcPr>
            <w:tcW w:w="3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постановления Правительства Республики Хакасия от 29.12.2021 № 715 </w:t>
              <w:br/>
              <w:t>«Об утверждении Порядка определения объема и предоставления субсидий из республиканского бюджета Республики Хакасия некоммерческим организациям на осуществление уставной деятельности и признании утратившими силу некоторых постановлений Правительства Республики Хакасия» в соответствие действующему законодательству.</w:t>
            </w:r>
          </w:p>
        </w:tc>
        <w:tc>
          <w:tcPr>
            <w:tcW w:w="1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регулирования, программным документам, федеральному законодательству и законодательству Республики Хакасия: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разработан 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лицам–производителям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(в редакции постановления Правительства Российской Федерации от 22.12.2022 № 2385), Налоговым кодексом Российской Федерации.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предлагаемого регулирования, иных возможных способов решения проблемы и обоснование выбора предлагаемого способа решения проблемы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Проектом постановления предлагается внести изменение в подпункт 5 пункта 2.4 и подпункт 8 пункта 2.5 постановления Правительства Республики Хакасия </w:t>
              <w:br/>
              <w:t>от 29.12.2021 № 715 «Об утверждении Порядка определения объема и предоставления субсидий из республиканского бюджета Республики Хакасия некоммерческим организациям на осуществление уставной деятельности и признании утратившими силу некоторых постановлений Правительства Республики Хакасия», изложив их в новой редакции.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проблема, в том числе без введения нового регулирования)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возможные способы решения поставленной проблемы в процессе публичных консультаций не выявлены.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Положения проекта постановления являются достаточными и эффективными для приведения постановления Правительства Республики Хакасия от 29.12.2021 № 715 </w:t>
              <w:br/>
              <w:t>«Об утверждении Порядка определения объема и предоставления субсидий из республиканского бюджета Республики Хакасия некоммерческим организациям на осуществление уставной деятельности и признании утратившими силу некоторых постановлений Правительства Республики Хакасия» в соответствие действующему законодательству.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 Группа участников правоотношений</w:t>
            </w:r>
          </w:p>
        </w:tc>
        <w:tc>
          <w:tcPr>
            <w:tcW w:w="48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 Оценка количества участников правоотношений</w:t>
            </w:r>
          </w:p>
        </w:tc>
      </w:tr>
      <w:tr>
        <w:trPr/>
        <w:tc>
          <w:tcPr>
            <w:tcW w:w="50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некоммерческие организации </w:t>
              <w:br/>
              <w:t>(за исключением государственных (муниципальных) учреждений), осуществляющие на территории Республики Хакасия деятельность по социальной защите и поддержке ветеранов, инвалидов, в том числе детей-инвалидов, реабилитированных лиц и лиц, признанных пострадавшими от политических репрессий, а также деятельность по сохранению и обогащению национальной культуры хакасского народа</w:t>
            </w:r>
          </w:p>
        </w:tc>
        <w:tc>
          <w:tcPr>
            <w:tcW w:w="48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неограниченное количество участников, соответствующих требованиям для предоставления субсидии</w:t>
            </w:r>
          </w:p>
        </w:tc>
      </w:tr>
      <w:tr>
        <w:trPr/>
        <w:tc>
          <w:tcPr>
            <w:tcW w:w="50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Республики Хакасия</w:t>
            </w:r>
          </w:p>
        </w:tc>
        <w:tc>
          <w:tcPr>
            <w:tcW w:w="48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организации их исполнения**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97" w:hRule="atLeast"/>
        </w:trPr>
        <w:tc>
          <w:tcPr>
            <w:tcW w:w="5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48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 Порядок реализации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8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органа: (указываются соответствующие данные из пункта 7.1 сводного отчета)</w:t>
            </w:r>
          </w:p>
        </w:tc>
      </w:tr>
      <w:tr>
        <w:trPr/>
        <w:tc>
          <w:tcPr>
            <w:tcW w:w="5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(№.1)</w:t>
            </w:r>
          </w:p>
        </w:tc>
        <w:tc>
          <w:tcPr>
            <w:tcW w:w="48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(№.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соответствующих расходов (возможных поступлений) республиканского бюджета Республики Хакасия**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 Наименование новой или изменяемой функции, полномочия, обязанности или права (кратко указываются данные из пункта 8.1 сводного отчета)</w:t>
            </w:r>
          </w:p>
        </w:tc>
        <w:tc>
          <w:tcPr>
            <w:tcW w:w="35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 Описание видов расходов (возможных поступлений) республиканского бюджета Республики Хакасия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9.3. Количественная оценка расходов (возможных поступлений)</w:t>
            </w:r>
          </w:p>
        </w:tc>
      </w:tr>
      <w:tr>
        <w:trPr/>
        <w:tc>
          <w:tcPr>
            <w:tcW w:w="98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органа: (орган №) (указываются соответствующие данные из пункта 7.1 сводного отчета)</w:t>
            </w:r>
          </w:p>
        </w:tc>
      </w:tr>
      <w:tr>
        <w:trPr/>
        <w:tc>
          <w:tcPr>
            <w:tcW w:w="334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.K)</w:t>
            </w:r>
          </w:p>
        </w:tc>
        <w:tc>
          <w:tcPr>
            <w:tcW w:w="35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Единовременные расходы в год возникновения: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44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Периодические расходы за период 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44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поступления за период 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6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единовременные расходы в год возникновения: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6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периодические расходы за год (без учета года возникновения):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62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Новые обязательные требования, обязанности для субъектов предпринимательской и иной экономической деятельности, новая ответственность за нарушение нормативных правовых актов Республики Хакасия, новые обязанности, запреты и ограничения для субъектов предпринимательской и иной экономической деятельности, а также порядок организации их исполнения**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 Описание новых преимуществ, обязательных требований, обязанностей, ограничений, ответственности или изменения содержания существующих обязательных требований, обязанностей, ограничений и ответственности</w:t>
            </w:r>
          </w:p>
        </w:tc>
        <w:tc>
          <w:tcPr>
            <w:tcW w:w="48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 Порядок реализации</w:t>
            </w:r>
          </w:p>
        </w:tc>
      </w:tr>
      <w:tr>
        <w:trPr/>
        <w:tc>
          <w:tcPr>
            <w:tcW w:w="98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субъектов предпринимательской и иной экономической деятельности (указываются соответствующие данные из пункта 7.1 сводного отчета)</w:t>
            </w:r>
          </w:p>
        </w:tc>
      </w:tr>
      <w:tr>
        <w:trPr>
          <w:trHeight w:val="269" w:hRule="atLeast"/>
        </w:trPr>
        <w:tc>
          <w:tcPr>
            <w:tcW w:w="5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38" w:type="dxa"/>
            <w:gridSpan w:val="26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 или обязанностей, а также связанных с введением новой ответственности**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 Группа субъектов предпринимательской и иной экономической деятельности (указываются соответствующие данные из пункта 7.1 сводного отчета)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 Описание новых преимуществ, обязательных требований обязанностей, ограничений или изменения содержания существующих обязательных требований, обязанностей и ограничений (кратко указываются данные из пункта 10.1 сводного отчета)</w:t>
            </w:r>
          </w:p>
        </w:tc>
        <w:tc>
          <w:tcPr>
            <w:tcW w:w="3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 Описание и оценка видов расходов, а также доходов (экономии), возникающих, в том числе в связи с отсутствием необходимости соблюдать требования, обязанности, запреты</w:t>
            </w:r>
          </w:p>
        </w:tc>
      </w:tr>
      <w:tr>
        <w:trPr/>
        <w:tc>
          <w:tcPr>
            <w:tcW w:w="334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(Группа участников отношений №)</w:t>
            </w:r>
          </w:p>
        </w:tc>
        <w:tc>
          <w:tcPr>
            <w:tcW w:w="33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(№.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</w:tc>
        <w:tc>
          <w:tcPr>
            <w:tcW w:w="3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44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.K)</w:t>
            </w:r>
          </w:p>
        </w:tc>
        <w:tc>
          <w:tcPr>
            <w:tcW w:w="3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59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единовременные расходы/доходы в год возникновения (в масштабе, установленном пунктом 7.2 сводного отчета):</w:t>
            </w:r>
          </w:p>
        </w:tc>
        <w:tc>
          <w:tcPr>
            <w:tcW w:w="3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59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периодические расходы/доходы за год (в масштабе, установленном пунктом 7.2 сводного отчета, без учета года возникновения):</w:t>
            </w:r>
          </w:p>
        </w:tc>
        <w:tc>
          <w:tcPr>
            <w:tcW w:w="3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089" w:type="dxa"/>
            <w:gridSpan w:val="2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 Риски решения проблемы предложенным способом и риски негативных последствий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12.2. Оценка вероятности наступления рисков*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12.3. Методы контроля эффективности избранного способа достижения целей регулирования (контроля рисков)*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12.4. Степень контроля рисков*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Риски негативных последствий отсутствуют.</w:t>
            </w:r>
          </w:p>
        </w:tc>
        <w:tc>
          <w:tcPr>
            <w:tcW w:w="2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12.5.</w:t>
            </w:r>
          </w:p>
        </w:tc>
        <w:tc>
          <w:tcPr>
            <w:tcW w:w="909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79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099" w:type="dxa"/>
            <w:gridSpan w:val="2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мероприятия*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13.1. Мероприятия необходимые для достижения целей регулирования</w:t>
            </w:r>
          </w:p>
        </w:tc>
        <w:tc>
          <w:tcPr>
            <w:tcW w:w="3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13.2. Сроки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13.3. Описание ожидаемого результата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(Мероприятие 1)</w:t>
            </w:r>
          </w:p>
        </w:tc>
        <w:tc>
          <w:tcPr>
            <w:tcW w:w="3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(Мероприятие №)</w:t>
            </w:r>
          </w:p>
        </w:tc>
        <w:tc>
          <w:tcPr>
            <w:tcW w:w="3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099" w:type="dxa"/>
            <w:gridSpan w:val="2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Индикативные показатели, программы мониторинга и иные способы (методы) оценки достижения заявленных целей регулирования*</w:t>
            </w:r>
          </w:p>
        </w:tc>
      </w:tr>
      <w:tr>
        <w:trPr>
          <w:trHeight w:val="1951" w:hRule="atLeast"/>
        </w:trPr>
        <w:tc>
          <w:tcPr>
            <w:tcW w:w="3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14.1. Цели предлагаемого регулирования (кратко указываются данные из пункта 5.1 сводного отчета)</w:t>
            </w:r>
          </w:p>
        </w:tc>
        <w:tc>
          <w:tcPr>
            <w:tcW w:w="66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14.2. Индикативные показатели (отражение степени (этапов) достижения целей правового регулирования) и единицы их измерения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2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(Цель №)</w:t>
            </w:r>
          </w:p>
        </w:tc>
        <w:tc>
          <w:tcPr>
            <w:tcW w:w="66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(Показатель №.1)</w:t>
            </w:r>
          </w:p>
        </w:tc>
      </w:tr>
      <w:tr>
        <w:trPr>
          <w:trHeight w:val="295" w:hRule="atLeast"/>
        </w:trPr>
        <w:tc>
          <w:tcPr>
            <w:tcW w:w="3225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6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(Показатель №.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14.3.</w:t>
            </w:r>
          </w:p>
        </w:tc>
        <w:tc>
          <w:tcPr>
            <w:tcW w:w="909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14.4.</w:t>
            </w:r>
          </w:p>
        </w:tc>
        <w:tc>
          <w:tcPr>
            <w:tcW w:w="909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79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099" w:type="dxa"/>
            <w:gridSpan w:val="2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Предполагаемая дата вступления в силу проекта нормативного акта, необходимость установления переходных положений (переходного периода), а также эксперимента**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909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Предполагаемая дата вступления в силу проекта нормативного акта:</w:t>
            </w:r>
          </w:p>
        </w:tc>
      </w:tr>
      <w:tr>
        <w:trPr/>
        <w:tc>
          <w:tcPr>
            <w:tcW w:w="49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15.2. Необходимость установления переходных положений (переходного периода):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(присутствует/отсутствует)</w:t>
            </w:r>
          </w:p>
        </w:tc>
        <w:tc>
          <w:tcPr>
            <w:tcW w:w="49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 Сведения о переходных положениях (при необходимости):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15.4.</w:t>
            </w:r>
          </w:p>
        </w:tc>
        <w:tc>
          <w:tcPr>
            <w:tcW w:w="909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 установления эксперимента: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15.5.</w:t>
            </w:r>
          </w:p>
        </w:tc>
        <w:tc>
          <w:tcPr>
            <w:tcW w:w="909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предполагаемом эксперименте (при наличии):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79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099" w:type="dxa"/>
            <w:gridSpan w:val="2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сведения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16.1.</w:t>
            </w:r>
          </w:p>
        </w:tc>
        <w:tc>
          <w:tcPr>
            <w:tcW w:w="910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сведения, которые, по мнению регулирующего органа, позволяют оценить обоснованность предлагаемого регулирования: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16.2.</w:t>
            </w:r>
          </w:p>
        </w:tc>
        <w:tc>
          <w:tcPr>
            <w:tcW w:w="910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Наименование инициатора проекта закона (при наличии):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16.3.</w:t>
            </w:r>
          </w:p>
        </w:tc>
        <w:tc>
          <w:tcPr>
            <w:tcW w:w="910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приложениях к сводному отчету (при наличии):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>
        <w:trPr/>
        <w:tc>
          <w:tcPr>
            <w:tcW w:w="306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Министр труда и социальной защиты Республики Хакасия</w:t>
            </w:r>
          </w:p>
        </w:tc>
        <w:tc>
          <w:tcPr>
            <w:tcW w:w="676" w:type="dxa"/>
            <w:gridSpan w:val="5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7" w:type="dxa"/>
            <w:gridSpan w:val="5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Т.Н. Раменская</w:t>
            </w:r>
          </w:p>
        </w:tc>
      </w:tr>
      <w:tr>
        <w:trPr/>
        <w:tc>
          <w:tcPr>
            <w:tcW w:w="3064" w:type="dxa"/>
            <w:gridSpan w:val="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(наименование должности)</w:t>
            </w:r>
          </w:p>
        </w:tc>
        <w:tc>
          <w:tcPr>
            <w:tcW w:w="67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8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08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(фамилия, инициалы лица)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&lt;*&gt; не подлежит заполнению для проектов нормативных правовых актов Республики Хакасия, имеющих среднюю и низкую степень регулирующего воздействия.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&lt;**&gt; не подлежит заполнению для проектов нормативных правовых актов Республики Хакасия, имеющих низкую степень регулирующего воздействия.</w:t>
      </w:r>
    </w:p>
    <w:sectPr>
      <w:headerReference w:type="default" r:id="rId2"/>
      <w:type w:val="nextPage"/>
      <w:pgSz w:w="12240" w:h="15840"/>
      <w:pgMar w:left="1701" w:right="850" w:gutter="0" w:header="720" w:top="1134" w:footer="0" w:bottom="851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8</w:t>
    </w:r>
    <w:r>
      <w:rPr>
        <w:sz w:val="24"/>
        <w:szCs w:val="24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32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4032e8"/>
    <w:pPr>
      <w:keepNext w:val="true"/>
      <w:spacing w:lineRule="auto" w:line="240" w:before="0" w:after="0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4032e8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4032e8"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4032e8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4032e8"/>
    <w:pPr>
      <w:keepNext w:val="true"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Normal"/>
    <w:next w:val="Normal"/>
    <w:link w:val="61"/>
    <w:uiPriority w:val="9"/>
    <w:unhideWhenUsed/>
    <w:qFormat/>
    <w:rsid w:val="004032e8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Normal"/>
    <w:next w:val="Normal"/>
    <w:link w:val="71"/>
    <w:uiPriority w:val="9"/>
    <w:unhideWhenUsed/>
    <w:qFormat/>
    <w:rsid w:val="004032e8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Normal"/>
    <w:next w:val="Normal"/>
    <w:link w:val="81"/>
    <w:uiPriority w:val="9"/>
    <w:unhideWhenUsed/>
    <w:qFormat/>
    <w:rsid w:val="004032e8"/>
    <w:pPr>
      <w:keepNext w:val="true"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032e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4032e8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4032e8"/>
    <w:rPr>
      <w:rFonts w:ascii="Cambria" w:hAnsi="Cambria" w:eastAsia="Times New Roman" w:cs="Times New Roman"/>
      <w:b/>
      <w:bCs/>
      <w:color w:val="4F81BD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4032e8"/>
    <w:rPr>
      <w:rFonts w:ascii="Cambria" w:hAnsi="Cambria" w:eastAsia="Times New Roman" w:cs="Times New Roman"/>
      <w:b/>
      <w:bCs/>
      <w:i/>
      <w:iCs/>
      <w:color w:val="4F81BD"/>
      <w:lang w:eastAsia="ru-RU"/>
    </w:rPr>
  </w:style>
  <w:style w:type="character" w:styleId="51" w:customStyle="1">
    <w:name w:val="Заголовок 5 Знак"/>
    <w:basedOn w:val="DefaultParagraphFont"/>
    <w:uiPriority w:val="9"/>
    <w:qFormat/>
    <w:rsid w:val="004032e8"/>
    <w:rPr>
      <w:rFonts w:ascii="Cambria" w:hAnsi="Cambria" w:eastAsia="Times New Roman" w:cs="Times New Roman"/>
      <w:color w:val="243F60"/>
      <w:lang w:eastAsia="ru-RU"/>
    </w:rPr>
  </w:style>
  <w:style w:type="character" w:styleId="61" w:customStyle="1">
    <w:name w:val="Заголовок 6 Знак"/>
    <w:basedOn w:val="DefaultParagraphFont"/>
    <w:uiPriority w:val="9"/>
    <w:qFormat/>
    <w:rsid w:val="004032e8"/>
    <w:rPr>
      <w:rFonts w:ascii="Cambria" w:hAnsi="Cambria" w:eastAsia="Times New Roman" w:cs="Times New Roman"/>
      <w:i/>
      <w:iCs/>
      <w:color w:val="243F60"/>
      <w:lang w:eastAsia="ru-RU"/>
    </w:rPr>
  </w:style>
  <w:style w:type="character" w:styleId="71" w:customStyle="1">
    <w:name w:val="Заголовок 7 Знак"/>
    <w:basedOn w:val="DefaultParagraphFont"/>
    <w:uiPriority w:val="9"/>
    <w:qFormat/>
    <w:rsid w:val="004032e8"/>
    <w:rPr>
      <w:rFonts w:ascii="Cambria" w:hAnsi="Cambria" w:eastAsia="Times New Roman" w:cs="Times New Roman"/>
      <w:i/>
      <w:iCs/>
      <w:color w:val="404040"/>
      <w:lang w:eastAsia="ru-RU"/>
    </w:rPr>
  </w:style>
  <w:style w:type="character" w:styleId="81" w:customStyle="1">
    <w:name w:val="Заголовок 8 Знак"/>
    <w:basedOn w:val="DefaultParagraphFont"/>
    <w:uiPriority w:val="9"/>
    <w:qFormat/>
    <w:rsid w:val="004032e8"/>
    <w:rPr>
      <w:rFonts w:ascii="Cambria" w:hAnsi="Cambria" w:eastAsia="Times New Roman" w:cs="Times New Roman"/>
      <w:color w:val="404040"/>
      <w:sz w:val="20"/>
      <w:szCs w:val="20"/>
      <w:lang w:eastAsia="ru-RU"/>
    </w:rPr>
  </w:style>
  <w:style w:type="character" w:styleId="Style6" w:customStyle="1">
    <w:name w:val="Подзаголовок Знак"/>
    <w:basedOn w:val="DefaultParagraphFont"/>
    <w:qFormat/>
    <w:rsid w:val="004032e8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4032e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7" w:customStyle="1">
    <w:name w:val="Основной текст Знак"/>
    <w:basedOn w:val="DefaultParagraphFont"/>
    <w:uiPriority w:val="99"/>
    <w:semiHidden/>
    <w:qFormat/>
    <w:rsid w:val="004032e8"/>
    <w:rPr>
      <w:rFonts w:ascii="Calibri" w:hAnsi="Calibri" w:eastAsia="Times New Roman" w:cs="Times New Roman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4032e8"/>
    <w:rPr>
      <w:rFonts w:ascii="Calibri" w:hAnsi="Calibri" w:eastAsia="Times New Roman" w:cs="Times New Roman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sid w:val="004032e8"/>
    <w:rPr>
      <w:rFonts w:ascii="Calibri" w:hAnsi="Calibri" w:eastAsia="Times New Roman" w:cs="Times New Roman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4032e8"/>
    <w:rPr>
      <w:rFonts w:ascii="Tahoma" w:hAnsi="Tahoma" w:eastAsia="Times New Roman" w:cs="Tahoma"/>
      <w:sz w:val="16"/>
      <w:szCs w:val="16"/>
      <w:lang w:eastAsia="ru-RU"/>
    </w:rPr>
  </w:style>
  <w:style w:type="character" w:styleId="Style11">
    <w:name w:val="Hyperlink"/>
    <w:uiPriority w:val="99"/>
    <w:unhideWhenUsed/>
    <w:rsid w:val="004032e8"/>
    <w:rPr>
      <w:color w:val="0000FF"/>
      <w:u w:val="single"/>
    </w:rPr>
  </w:style>
  <w:style w:type="character" w:styleId="Annotationreference">
    <w:name w:val="annotation reference"/>
    <w:uiPriority w:val="99"/>
    <w:semiHidden/>
    <w:unhideWhenUsed/>
    <w:qFormat/>
    <w:rsid w:val="004032e8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4032e8"/>
    <w:rPr>
      <w:rFonts w:ascii="Calibri" w:hAnsi="Calibri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4032e8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styleId="ConsPlusNormal" w:customStyle="1">
    <w:name w:val="ConsPlusNormal Знак"/>
    <w:link w:val="ConsPlusNormal1"/>
    <w:qFormat/>
    <w:locked/>
    <w:rsid w:val="009029a2"/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link w:val="Style7"/>
    <w:uiPriority w:val="99"/>
    <w:semiHidden/>
    <w:unhideWhenUsed/>
    <w:rsid w:val="004032e8"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4032e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032e8"/>
    <w:pPr>
      <w:spacing w:before="0" w:after="200"/>
      <w:ind w:left="720" w:hanging="0"/>
      <w:contextualSpacing/>
    </w:pPr>
    <w:rPr/>
  </w:style>
  <w:style w:type="paragraph" w:styleId="Style19">
    <w:name w:val="Subtitle"/>
    <w:basedOn w:val="Normal"/>
    <w:link w:val="Style6"/>
    <w:qFormat/>
    <w:rsid w:val="004032e8"/>
    <w:pPr>
      <w:spacing w:lineRule="auto" w:line="240" w:before="0" w:after="0"/>
      <w:jc w:val="center"/>
    </w:pPr>
    <w:rPr>
      <w:rFonts w:ascii="Times New Roman" w:hAnsi="Times New Roman"/>
      <w:b/>
      <w:sz w:val="36"/>
      <w:szCs w:val="20"/>
    </w:rPr>
  </w:style>
  <w:style w:type="paragraph" w:styleId="BodyText2">
    <w:name w:val="Body Text 2"/>
    <w:basedOn w:val="Normal"/>
    <w:link w:val="22"/>
    <w:qFormat/>
    <w:rsid w:val="004032e8"/>
    <w:pPr>
      <w:spacing w:lineRule="auto" w:line="240" w:before="0" w:after="0"/>
      <w:ind w:right="-1" w:hanging="0"/>
      <w:jc w:val="both"/>
    </w:pPr>
    <w:rPr>
      <w:rFonts w:ascii="Times New Roman" w:hAnsi="Times New Roman"/>
      <w:sz w:val="28"/>
      <w:szCs w:val="20"/>
    </w:rPr>
  </w:style>
  <w:style w:type="paragraph" w:styleId="ConsNormal" w:customStyle="1">
    <w:name w:val="ConsNormal"/>
    <w:qFormat/>
    <w:rsid w:val="004032e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4032e8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4032e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8"/>
    <w:uiPriority w:val="99"/>
    <w:unhideWhenUsed/>
    <w:rsid w:val="004032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Style9"/>
    <w:uiPriority w:val="99"/>
    <w:unhideWhenUsed/>
    <w:rsid w:val="004032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4032e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032e8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4032e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4032e8"/>
    <w:pPr/>
    <w:rPr>
      <w:b/>
      <w:bCs/>
    </w:rPr>
  </w:style>
  <w:style w:type="paragraph" w:styleId="ConsPlusNormal1" w:customStyle="1">
    <w:name w:val="ConsPlusNormal"/>
    <w:link w:val="ConsPlusNormal"/>
    <w:qFormat/>
    <w:rsid w:val="009029a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4032e8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LibreOffice/7.4.3.2$Linux_X86_64 LibreOffice_project/40$Build-2</Application>
  <AppVersion>15.0000</AppVersion>
  <Pages>8</Pages>
  <Words>1929</Words>
  <Characters>16052</Characters>
  <CharactersWithSpaces>17757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2021-12-28T04:24:00Z</dcterms:created>
  <dc:creator>Пользователь</dc:creator>
  <dc:description/>
  <dc:language>ru-RU</dc:language>
  <cp:lastModifiedBy/>
  <dcterms:modified xsi:type="dcterms:W3CDTF">2023-04-13T16:44:58Z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